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10188.0" w:type="dxa"/>
        <w:jc w:val="left"/>
        <w:tblInd w:w="0.0" w:type="dxa"/>
        <w:tblLayout w:type="fixed"/>
        <w:tblLook w:val="0000"/>
      </w:tblPr>
      <w:tblGrid>
        <w:gridCol w:w="10188"/>
        <w:tblGridChange w:id="0">
          <w:tblGrid>
            <w:gridCol w:w="10188"/>
          </w:tblGrid>
        </w:tblGridChange>
      </w:tblGrid>
      <w:tr>
        <w:trPr>
          <w:trHeight w:val="282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XXIV CONCURSO PATENTAR PARA TRANSFERIR</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VICERRECTORÍA DE INVESTIGACIÓN</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DIRECCIÓN DE TRANSFERENCIA Y DESARROLLO</w:t>
            </w:r>
          </w:p>
          <w:p w:rsidR="00000000" w:rsidDel="00000000" w:rsidP="00000000" w:rsidRDefault="00000000" w:rsidRPr="00000000" w14:paraId="00000005">
            <w:pPr>
              <w:tabs>
                <w:tab w:val="left" w:pos="2955"/>
                <w:tab w:val="center" w:pos="4986"/>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6">
            <w:pPr>
              <w:tabs>
                <w:tab w:val="left" w:pos="2955"/>
                <w:tab w:val="left" w:pos="4427"/>
                <w:tab w:val="center" w:pos="4986"/>
              </w:tabs>
              <w:ind w:left="0" w:hanging="2"/>
              <w:rPr>
                <w:rFonts w:ascii="Calibri" w:cs="Calibri" w:eastAsia="Calibri" w:hAnsi="Calibri"/>
              </w:rPr>
            </w:pPr>
            <w:r w:rsidDel="00000000" w:rsidR="00000000" w:rsidRPr="00000000">
              <w:rPr>
                <w:rFonts w:ascii="Calibri" w:cs="Calibri" w:eastAsia="Calibri" w:hAnsi="Calibri"/>
                <w:b w:val="1"/>
                <w:rtl w:val="0"/>
              </w:rPr>
              <w:tab/>
              <w:tab/>
              <w:tab/>
              <w:t xml:space="preserve">BASES</w:t>
            </w:r>
            <w:r w:rsidDel="00000000" w:rsidR="00000000" w:rsidRPr="00000000">
              <w:rPr>
                <w:rtl w:val="0"/>
              </w:rPr>
            </w:r>
          </w:p>
          <w:p w:rsidR="00000000" w:rsidDel="00000000" w:rsidP="00000000" w:rsidRDefault="00000000" w:rsidRPr="00000000" w14:paraId="00000007">
            <w:pPr>
              <w:tabs>
                <w:tab w:val="left" w:pos="456"/>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8">
            <w:pPr>
              <w:tabs>
                <w:tab w:val="left" w:pos="456"/>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OBJETIVO</w:t>
            </w:r>
            <w:r w:rsidDel="00000000" w:rsidR="00000000" w:rsidRPr="00000000">
              <w:rPr>
                <w:rtl w:val="0"/>
              </w:rPr>
            </w:r>
          </w:p>
          <w:p w:rsidR="00000000" w:rsidDel="00000000" w:rsidP="00000000" w:rsidRDefault="00000000" w:rsidRPr="00000000" w14:paraId="0000000B">
            <w:pPr>
              <w:ind w:left="0" w:hanging="2"/>
              <w:jc w:val="both"/>
              <w:rPr>
                <w:rFonts w:ascii="Calibri" w:cs="Calibri" w:eastAsia="Calibri" w:hAnsi="Calibri"/>
              </w:rPr>
            </w:pPr>
            <w:r w:rsidDel="00000000" w:rsidR="00000000" w:rsidRPr="00000000">
              <w:rPr>
                <w:rFonts w:ascii="Calibri" w:cs="Calibri" w:eastAsia="Calibri" w:hAnsi="Calibri"/>
                <w:rtl w:val="0"/>
              </w:rPr>
              <w:t xml:space="preserve">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0000" w:rsidDel="00000000" w:rsidP="00000000" w:rsidRDefault="00000000" w:rsidRPr="00000000" w14:paraId="0000000C">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BENEFICIOS: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Todos los proyectos recibirán comentarios de un panel de expertos de la industria respecto a la relevancia del problema que abordan y la posibilidad de adopción de la tecnología por parte de la industria.</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ind w:left="0" w:hanging="2"/>
              <w:rPr>
                <w:rFonts w:ascii="Calibri" w:cs="Calibri" w:eastAsia="Calibri" w:hAnsi="Calibri"/>
              </w:rPr>
            </w:pPr>
            <w:r w:rsidDel="00000000" w:rsidR="00000000" w:rsidRPr="00000000">
              <w:rPr>
                <w:rFonts w:ascii="Calibri" w:cs="Calibri" w:eastAsia="Calibri" w:hAnsi="Calibri"/>
                <w:rtl w:val="0"/>
              </w:rPr>
              <w:t xml:space="preserve">Los proyectos ganadores recibirán los siguientes beneficios:</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Búsqueda del estado del arte (BEA):</w:t>
            </w:r>
            <w:r w:rsidDel="00000000" w:rsidR="00000000" w:rsidRPr="00000000">
              <w:rPr>
                <w:rFonts w:ascii="Calibri" w:cs="Calibri" w:eastAsia="Calibri" w:hAnsi="Calibri"/>
                <w:color w:val="000000"/>
                <w:rtl w:val="0"/>
              </w:rPr>
              <w:t xml:space="preserve"> Consiste en financiamiento de un estudio del arte previo.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ind w:left="0" w:hanging="2"/>
              <w:rPr>
                <w:rFonts w:ascii="Calibri" w:cs="Calibri" w:eastAsia="Calibri" w:hAnsi="Calibri"/>
              </w:rPr>
            </w:pPr>
            <w:r w:rsidDel="00000000" w:rsidR="00000000" w:rsidRPr="00000000">
              <w:rPr>
                <w:rFonts w:ascii="Calibri" w:cs="Calibri" w:eastAsia="Calibri" w:hAnsi="Calibri"/>
                <w:b w:val="1"/>
                <w:rtl w:val="0"/>
              </w:rPr>
              <w:t xml:space="preserve">Para aquellas invenciones cuyas BEA indiquen que su invención es patentable:</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tabs>
                <w:tab w:val="left" w:pos="456"/>
              </w:tabs>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Asesoría</w:t>
            </w:r>
            <w:r w:rsidDel="00000000" w:rsidR="00000000" w:rsidRPr="00000000">
              <w:rPr>
                <w:rFonts w:ascii="Calibri" w:cs="Calibri" w:eastAsia="Calibri" w:hAnsi="Calibri"/>
                <w:color w:val="000000"/>
                <w:rtl w:val="0"/>
              </w:rPr>
              <w:t xml:space="preserve">: apoyo de un equipo especializado de la Dirección de Transferencia y Desarrollo, en la estrategia de protección y en la obtención de fondos para continuar el proceso de patentamiento y transferencia.</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tabs>
                <w:tab w:val="left" w:pos="456"/>
              </w:tabs>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Redacción y presentación de patente</w:t>
            </w:r>
            <w:r w:rsidDel="00000000" w:rsidR="00000000" w:rsidRPr="00000000">
              <w:rPr>
                <w:rFonts w:ascii="Calibri" w:cs="Calibri" w:eastAsia="Calibri" w:hAnsi="Calibri"/>
                <w:color w:val="000000"/>
                <w:rtl w:val="0"/>
              </w:rPr>
              <w:t xml:space="preserve">: financiamiento para la redacción y primera presentación de la patente (solicitud de patente prioridad) </w:t>
            </w:r>
            <w:r w:rsidDel="00000000" w:rsidR="00000000" w:rsidRPr="00000000">
              <w:rPr>
                <w:rFonts w:ascii="Calibri" w:cs="Calibri" w:eastAsia="Calibri" w:hAnsi="Calibri"/>
                <w:b w:val="1"/>
                <w:color w:val="000000"/>
                <w:rtl w:val="0"/>
              </w:rPr>
              <w:t xml:space="preserve">para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los postulantes ganadores cuyas búsquedas del estado del arte indiquen que su invención es patentable.</w:t>
            </w:r>
            <w:r w:rsidDel="00000000" w:rsidR="00000000" w:rsidRPr="00000000">
              <w:rPr>
                <w:rFonts w:ascii="Calibri" w:cs="Calibri" w:eastAsia="Calibri" w:hAnsi="Calibri"/>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711200</wp:posOffset>
                      </wp:positionV>
                      <wp:extent cx="6381750" cy="914400"/>
                      <wp:effectExtent b="0" l="0" r="0" t="0"/>
                      <wp:wrapSquare wrapText="bothSides" distB="0" distT="0" distL="114300" distR="114300"/>
                      <wp:docPr id="1028" name=""/>
                      <a:graphic>
                        <a:graphicData uri="http://schemas.microsoft.com/office/word/2010/wordprocessingShape">
                          <wps:wsp>
                            <wps:cNvSpPr/>
                            <wps:cNvPr id="2" name="Shape 2"/>
                            <wps:spPr>
                              <a:xfrm>
                                <a:off x="2183700" y="3351375"/>
                                <a:ext cx="6324600" cy="85725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Calibri" w:cs="Calibri" w:eastAsia="Calibri" w:hAnsi="Calibri"/>
                                      <w:b w:val="1"/>
                                      <w:i w:val="0"/>
                                      <w:smallCaps w:val="0"/>
                                      <w:strike w:val="0"/>
                                      <w:color w:val="000000"/>
                                      <w:sz w:val="24"/>
                                      <w:vertAlign w:val="baseline"/>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711200</wp:posOffset>
                      </wp:positionV>
                      <wp:extent cx="6381750" cy="914400"/>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81750" cy="914400"/>
                              </a:xfrm>
                              <a:prstGeom prst="rect"/>
                              <a:ln/>
                            </pic:spPr>
                          </pic:pic>
                        </a:graphicData>
                      </a:graphic>
                    </wp:anchor>
                  </w:drawing>
                </mc:Fallback>
              </mc:AlternateContent>
            </w:r>
          </w:p>
          <w:p w:rsidR="00000000" w:rsidDel="00000000" w:rsidP="00000000" w:rsidRDefault="00000000" w:rsidRPr="00000000" w14:paraId="00000017">
            <w:pPr>
              <w:tabs>
                <w:tab w:val="left" w:pos="456"/>
              </w:tabs>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tabs>
                <w:tab w:val="left" w:pos="456"/>
              </w:tabs>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C) REQUISITOS: </w:t>
            </w: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rPr>
            </w:pPr>
            <w:r w:rsidDel="00000000" w:rsidR="00000000" w:rsidRPr="00000000">
              <w:rPr>
                <w:rFonts w:ascii="Calibri" w:cs="Calibri" w:eastAsia="Calibri" w:hAnsi="Calibri"/>
                <w:rtl w:val="0"/>
              </w:rPr>
              <w:t xml:space="preserve">1) Ser académico de planta o con jornada igual o superior a 22 horas y que hayan creado una invención, </w:t>
            </w:r>
            <w:r w:rsidDel="00000000" w:rsidR="00000000" w:rsidRPr="00000000">
              <w:rPr>
                <w:rFonts w:ascii="Calibri" w:cs="Calibri" w:eastAsia="Calibri" w:hAnsi="Calibri"/>
                <w:b w:val="1"/>
                <w:u w:val="single"/>
                <w:rtl w:val="0"/>
              </w:rPr>
              <w:t xml:space="preserve">en el marco de sus investigaciones realizadas en la UC</w:t>
            </w:r>
            <w:r w:rsidDel="00000000" w:rsidR="00000000" w:rsidRPr="00000000">
              <w:rPr>
                <w:rFonts w:ascii="Calibri" w:cs="Calibri" w:eastAsia="Calibri" w:hAnsi="Calibri"/>
                <w:rtl w:val="0"/>
              </w:rPr>
              <w:t xml:space="preserve"> y que requieran apoyo para la protección y la transferencia de ésta.</w:t>
            </w:r>
          </w:p>
          <w:p w:rsidR="00000000" w:rsidDel="00000000" w:rsidP="00000000" w:rsidRDefault="00000000" w:rsidRPr="00000000" w14:paraId="0000001B">
            <w:pPr>
              <w:ind w:left="0" w:hanging="2"/>
              <w:jc w:val="both"/>
              <w:rPr>
                <w:rFonts w:ascii="Calibri" w:cs="Calibri" w:eastAsia="Calibri" w:hAnsi="Calibri"/>
              </w:rPr>
            </w:pPr>
            <w:r w:rsidDel="00000000" w:rsidR="00000000" w:rsidRPr="00000000">
              <w:rPr>
                <w:rFonts w:ascii="Calibri" w:cs="Calibri" w:eastAsia="Calibri" w:hAnsi="Calibri"/>
                <w:rtl w:val="0"/>
              </w:rPr>
              <w:t xml:space="preserve">2) Que la invención no esté excluida de patentabilidad de acuerdo a los artículos 37, 38 y 62 ter de la Ley 19.039** de Propiedad Industrial.</w:t>
            </w:r>
          </w:p>
          <w:p w:rsidR="00000000" w:rsidDel="00000000" w:rsidP="00000000" w:rsidRDefault="00000000" w:rsidRPr="00000000" w14:paraId="0000001C">
            <w:pPr>
              <w:tabs>
                <w:tab w:val="left" w:pos="456"/>
              </w:tabs>
              <w:ind w:left="0" w:hanging="2"/>
              <w:jc w:val="both"/>
              <w:rPr>
                <w:rFonts w:ascii="Calibri" w:cs="Calibri" w:eastAsia="Calibri" w:hAnsi="Calibri"/>
              </w:rPr>
            </w:pPr>
            <w:r w:rsidDel="00000000" w:rsidR="00000000" w:rsidRPr="00000000">
              <w:rPr>
                <w:rFonts w:ascii="Calibri" w:cs="Calibri" w:eastAsia="Calibri" w:hAnsi="Calibri"/>
                <w:rtl w:val="0"/>
              </w:rPr>
              <w:t xml:space="preserve">3) Contar con los resultados de investigación suficientes que sustenten la redacción de una patente</w:t>
            </w:r>
          </w:p>
          <w:p w:rsidR="00000000" w:rsidDel="00000000" w:rsidP="00000000" w:rsidRDefault="00000000" w:rsidRPr="00000000" w14:paraId="0000001D">
            <w:pPr>
              <w:tabs>
                <w:tab w:val="left" w:pos="456"/>
              </w:tabs>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456"/>
              </w:tabs>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D) OBLIGACIONES Y DERECHOS DE LOS GANADORES</w:t>
            </w:r>
            <w:r w:rsidDel="00000000" w:rsidR="00000000" w:rsidRPr="00000000">
              <w:rPr>
                <w:rtl w:val="0"/>
              </w:rPr>
            </w:r>
          </w:p>
          <w:p w:rsidR="00000000" w:rsidDel="00000000" w:rsidP="00000000" w:rsidRDefault="00000000" w:rsidRPr="00000000" w14:paraId="0000001F">
            <w:pPr>
              <w:tabs>
                <w:tab w:val="left" w:pos="456"/>
              </w:tabs>
              <w:ind w:left="0" w:hanging="2"/>
              <w:jc w:val="both"/>
              <w:rPr>
                <w:rFonts w:ascii="Calibri" w:cs="Calibri" w:eastAsia="Calibri" w:hAnsi="Calibri"/>
              </w:rPr>
            </w:pPr>
            <w:r w:rsidDel="00000000" w:rsidR="00000000" w:rsidRPr="00000000">
              <w:rPr>
                <w:rFonts w:ascii="Calibri" w:cs="Calibri" w:eastAsia="Calibri" w:hAnsi="Calibri"/>
                <w:rtl w:val="0"/>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0000" w:rsidDel="00000000" w:rsidP="00000000" w:rsidRDefault="00000000" w:rsidRPr="00000000" w14:paraId="00000020">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E) POSTULACIONES: </w:t>
            </w:r>
            <w:r w:rsidDel="00000000" w:rsidR="00000000" w:rsidRPr="00000000">
              <w:rPr>
                <w:rtl w:val="0"/>
              </w:rPr>
            </w:r>
          </w:p>
          <w:p w:rsidR="00000000" w:rsidDel="00000000" w:rsidP="00000000" w:rsidRDefault="00000000" w:rsidRPr="00000000" w14:paraId="00000023">
            <w:pPr>
              <w:ind w:left="0" w:hanging="2"/>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Las postulaciones se deben realizar en línea en el </w:t>
            </w:r>
            <w:hyperlink r:id="rId9">
              <w:r w:rsidDel="00000000" w:rsidR="00000000" w:rsidRPr="00000000">
                <w:rPr>
                  <w:rFonts w:ascii="Calibri" w:cs="Calibri" w:eastAsia="Calibri" w:hAnsi="Calibri"/>
                  <w:color w:val="0000ff"/>
                  <w:u w:val="single"/>
                  <w:vertAlign w:val="baseline"/>
                  <w:rtl w:val="0"/>
                </w:rPr>
                <w:t xml:space="preserve">sitio de postulación</w:t>
              </w:r>
            </w:hyperlink>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De este sitio cada postulante deberá descargar el formulario de postulación y la </w:t>
            </w:r>
            <w:hyperlink r:id="rId10">
              <w:r w:rsidDel="00000000" w:rsidR="00000000" w:rsidRPr="00000000">
                <w:rPr>
                  <w:rFonts w:ascii="Calibri" w:cs="Calibri" w:eastAsia="Calibri" w:hAnsi="Calibri"/>
                  <w:color w:val="0000ff"/>
                  <w:u w:val="single"/>
                  <w:vertAlign w:val="baseline"/>
                  <w:rtl w:val="0"/>
                </w:rPr>
                <w:t xml:space="preserve">DOI</w:t>
              </w:r>
            </w:hyperlink>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Ambos documentos deberán ser completados y adjuntados a la postulación enviada. </w:t>
            </w:r>
          </w:p>
          <w:p w:rsidR="00000000" w:rsidDel="00000000" w:rsidP="00000000" w:rsidRDefault="00000000" w:rsidRPr="00000000" w14:paraId="00000024">
            <w:pPr>
              <w:ind w:left="0" w:hanging="2"/>
              <w:jc w:val="both"/>
              <w:rPr>
                <w:rFonts w:ascii="Calibri" w:cs="Calibri" w:eastAsia="Calibri" w:hAnsi="Calibri"/>
              </w:rPr>
            </w:pPr>
            <w:r w:rsidDel="00000000" w:rsidR="00000000" w:rsidRPr="00000000">
              <w:rPr>
                <w:rFonts w:ascii="Calibri" w:cs="Calibri" w:eastAsia="Calibri" w:hAnsi="Calibri"/>
                <w:rtl w:val="0"/>
              </w:rPr>
              <w:t xml:space="preserve">La postulación debe ser enviada a más tardar </w:t>
            </w:r>
            <w:r w:rsidDel="00000000" w:rsidR="00000000" w:rsidRPr="00000000">
              <w:rPr>
                <w:rFonts w:ascii="Calibri" w:cs="Calibri" w:eastAsia="Calibri" w:hAnsi="Calibri"/>
                <w:b w:val="1"/>
                <w:rtl w:val="0"/>
              </w:rPr>
              <w:t xml:space="preserve">el miércoles 5 de agosto de 2020 a las 16:00 horas</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tabs>
                <w:tab w:val="left" w:pos="456"/>
              </w:tabs>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tabs>
                <w:tab w:val="left" w:pos="456"/>
              </w:tabs>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 CRITERIOS DE SELECCIÓN: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Los criterios de selección son los siguientes: </w:t>
            </w:r>
          </w:p>
          <w:p w:rsidR="00000000" w:rsidDel="00000000" w:rsidP="00000000" w:rsidRDefault="00000000" w:rsidRPr="00000000" w14:paraId="0000002B">
            <w:pPr>
              <w:widowControl w:val="0"/>
              <w:numPr>
                <w:ilvl w:val="1"/>
                <w:numId w:val="2"/>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Relevancia del problema que resuelve la invención.</w:t>
            </w:r>
          </w:p>
          <w:p w:rsidR="00000000" w:rsidDel="00000000" w:rsidP="00000000" w:rsidRDefault="00000000" w:rsidRPr="00000000" w14:paraId="0000002C">
            <w:pPr>
              <w:widowControl w:val="0"/>
              <w:numPr>
                <w:ilvl w:val="1"/>
                <w:numId w:val="2"/>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Resultados para sustentar la patente y nivel de desarrollo de la investigación de la invención. (Prototipo, pruebas de laboratorio, ensayos in vitro, ensayos in vivo, producto final, etc.)</w:t>
            </w:r>
          </w:p>
          <w:p w:rsidR="00000000" w:rsidDel="00000000" w:rsidP="00000000" w:rsidRDefault="00000000" w:rsidRPr="00000000" w14:paraId="0000002D">
            <w:pPr>
              <w:widowControl w:val="0"/>
              <w:numPr>
                <w:ilvl w:val="1"/>
                <w:numId w:val="2"/>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Posible impacto generado. (Tipo(s) de industria(s), mercado nacional y/o internacional, entre otros)  </w:t>
            </w:r>
          </w:p>
          <w:p w:rsidR="00000000" w:rsidDel="00000000" w:rsidP="00000000" w:rsidRDefault="00000000" w:rsidRPr="00000000" w14:paraId="0000002E">
            <w:pPr>
              <w:widowControl w:val="0"/>
              <w:numPr>
                <w:ilvl w:val="1"/>
                <w:numId w:val="2"/>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Equipo de investigadores.</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tabs>
                <w:tab w:val="left" w:pos="456"/>
              </w:tabs>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Todos los criterios tienen igual ponderación.</w:t>
            </w:r>
          </w:p>
          <w:p w:rsidR="00000000" w:rsidDel="00000000" w:rsidP="00000000" w:rsidRDefault="00000000" w:rsidRPr="00000000" w14:paraId="00000031">
            <w:pPr>
              <w:tabs>
                <w:tab w:val="left" w:pos="456"/>
              </w:tabs>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tabs>
                <w:tab w:val="left" w:pos="456"/>
              </w:tabs>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Búsqueda del estado del arte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3">
            <w:pPr>
              <w:tabs>
                <w:tab w:val="left" w:pos="456"/>
              </w:tabs>
              <w:ind w:left="0" w:hanging="2"/>
              <w:jc w:val="both"/>
              <w:rPr>
                <w:rFonts w:ascii="Calibri" w:cs="Calibri" w:eastAsia="Calibri" w:hAnsi="Calibri"/>
              </w:rPr>
            </w:pPr>
            <w:r w:rsidDel="00000000" w:rsidR="00000000" w:rsidRPr="00000000">
              <w:rPr>
                <w:rFonts w:ascii="Calibri" w:cs="Calibri" w:eastAsia="Calibri" w:hAnsi="Calibri"/>
                <w:rtl w:val="0"/>
              </w:rPr>
              <w:t xml:space="preserve">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0000" w:rsidDel="00000000" w:rsidP="00000000" w:rsidRDefault="00000000" w:rsidRPr="00000000" w14:paraId="00000034">
            <w:pPr>
              <w:tabs>
                <w:tab w:val="left" w:pos="456"/>
              </w:tabs>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tabs>
                <w:tab w:val="left" w:pos="456"/>
              </w:tabs>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Redacción y presentación de la patente.</w:t>
            </w:r>
            <w:r w:rsidDel="00000000" w:rsidR="00000000" w:rsidRPr="00000000">
              <w:rPr>
                <w:rtl w:val="0"/>
              </w:rPr>
            </w:r>
          </w:p>
          <w:p w:rsidR="00000000" w:rsidDel="00000000" w:rsidP="00000000" w:rsidRDefault="00000000" w:rsidRPr="00000000" w14:paraId="00000036">
            <w:pPr>
              <w:tabs>
                <w:tab w:val="left" w:pos="456"/>
              </w:tabs>
              <w:ind w:left="0" w:hanging="2"/>
              <w:jc w:val="both"/>
              <w:rPr>
                <w:rFonts w:ascii="Calibri" w:cs="Calibri" w:eastAsia="Calibri" w:hAnsi="Calibri"/>
              </w:rPr>
            </w:pPr>
            <w:r w:rsidDel="00000000" w:rsidR="00000000" w:rsidRPr="00000000">
              <w:rPr>
                <w:rFonts w:ascii="Calibri" w:cs="Calibri" w:eastAsia="Calibri" w:hAnsi="Calibri"/>
                <w:rtl w:val="0"/>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0000" w:rsidDel="00000000" w:rsidP="00000000" w:rsidRDefault="00000000" w:rsidRPr="00000000" w14:paraId="00000037">
            <w:pPr>
              <w:tabs>
                <w:tab w:val="left" w:pos="456"/>
              </w:tabs>
              <w:ind w:left="0" w:hanging="2"/>
              <w:jc w:val="both"/>
              <w:rPr>
                <w:rFonts w:ascii="Calibri" w:cs="Calibri" w:eastAsia="Calibri" w:hAnsi="Calibri"/>
              </w:rPr>
            </w:pPr>
            <w:r w:rsidDel="00000000" w:rsidR="00000000" w:rsidRPr="00000000">
              <w:rPr>
                <w:rFonts w:ascii="Calibri" w:cs="Calibri" w:eastAsia="Calibri" w:hAnsi="Calibri"/>
                <w:rtl w:val="0"/>
              </w:rPr>
              <w:t xml:space="preserve">Los ganadores se comprometen a participar activamente en el proceso de revisión de la redacción, de manera que la solicitud sea presentada a más tardar durante el mes de </w:t>
            </w:r>
            <w:r w:rsidDel="00000000" w:rsidR="00000000" w:rsidRPr="00000000">
              <w:rPr>
                <w:rFonts w:ascii="Calibri" w:cs="Calibri" w:eastAsia="Calibri" w:hAnsi="Calibri"/>
                <w:b w:val="1"/>
                <w:rtl w:val="0"/>
              </w:rPr>
              <w:t xml:space="preserve">diciembre de 2020</w:t>
            </w:r>
            <w:r w:rsidDel="00000000" w:rsidR="00000000" w:rsidRPr="00000000">
              <w:rPr>
                <w:rFonts w:ascii="Calibri" w:cs="Calibri" w:eastAsia="Calibri" w:hAnsi="Calibri"/>
                <w:rtl w:val="0"/>
              </w:rPr>
              <w:t xml:space="preserve"> para que el financiamiento sea válido, de lo contrario se perderán los beneficios.</w:t>
            </w:r>
          </w:p>
          <w:p w:rsidR="00000000" w:rsidDel="00000000" w:rsidP="00000000" w:rsidRDefault="00000000" w:rsidRPr="00000000" w14:paraId="00000038">
            <w:pPr>
              <w:tabs>
                <w:tab w:val="left" w:pos="456"/>
              </w:tabs>
              <w:ind w:left="0" w:hanging="2"/>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9">
            <w:pPr>
              <w:tabs>
                <w:tab w:val="left" w:pos="456"/>
              </w:tabs>
              <w:ind w:left="0" w:hanging="2"/>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 USO DE RECURSOS </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0000" w:rsidDel="00000000" w:rsidP="00000000" w:rsidRDefault="00000000" w:rsidRPr="00000000" w14:paraId="0000003C">
            <w:pPr>
              <w:tabs>
                <w:tab w:val="left" w:pos="456"/>
              </w:tabs>
              <w:ind w:left="0" w:hanging="2"/>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D">
            <w:pPr>
              <w:ind w:left="0" w:hanging="2"/>
              <w:jc w:val="both"/>
              <w:rPr>
                <w:rFonts w:ascii="Calibri" w:cs="Calibri" w:eastAsia="Calibri" w:hAnsi="Calibri"/>
              </w:rPr>
            </w:pPr>
            <w:r w:rsidDel="00000000" w:rsidR="00000000" w:rsidRPr="00000000">
              <w:rPr>
                <w:rFonts w:ascii="Calibri" w:cs="Calibri" w:eastAsia="Calibri" w:hAnsi="Calibri"/>
                <w:rtl w:val="0"/>
              </w:rPr>
              <w:t xml:space="preserve">Más Información y consultas: </w:t>
            </w:r>
            <w:hyperlink r:id="rId11">
              <w:r w:rsidDel="00000000" w:rsidR="00000000" w:rsidRPr="00000000">
                <w:rPr>
                  <w:rFonts w:ascii="Calibri" w:cs="Calibri" w:eastAsia="Calibri" w:hAnsi="Calibri"/>
                  <w:color w:val="0000ff"/>
                  <w:u w:val="single"/>
                  <w:rtl w:val="0"/>
                </w:rPr>
                <w:t xml:space="preserve">transferencia@uc.cl</w:t>
              </w:r>
            </w:hyperlink>
            <w:r w:rsidDel="00000000" w:rsidR="00000000" w:rsidRPr="00000000">
              <w:rPr>
                <w:rtl w:val="0"/>
              </w:rPr>
            </w:r>
          </w:p>
          <w:p w:rsidR="00000000" w:rsidDel="00000000" w:rsidP="00000000" w:rsidRDefault="00000000" w:rsidRPr="00000000" w14:paraId="0000003E">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H) FECHAS CLAVES: </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Lunes 13 de julio de 2020: </w:t>
            </w:r>
            <w:r w:rsidDel="00000000" w:rsidR="00000000" w:rsidRPr="00000000">
              <w:rPr>
                <w:rFonts w:ascii="Calibri" w:cs="Calibri" w:eastAsia="Calibri" w:hAnsi="Calibri"/>
                <w:color w:val="000000"/>
                <w:rtl w:val="0"/>
              </w:rPr>
              <w:t xml:space="preserve">apertura concurso.</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Miércoles 5 de agosto de 2020, 16:00 horas: </w:t>
            </w:r>
            <w:r w:rsidDel="00000000" w:rsidR="00000000" w:rsidRPr="00000000">
              <w:rPr>
                <w:rFonts w:ascii="Calibri" w:cs="Calibri" w:eastAsia="Calibri" w:hAnsi="Calibri"/>
                <w:color w:val="000000"/>
                <w:rtl w:val="0"/>
              </w:rPr>
              <w:t xml:space="preserve">cierre concurso.</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entrega de DOI en formato físico en la Dirección de Transferencia y Desarrollo (DTD), Piso 10, Edificio Centro de Innovación UC Anacleto Angelini, Av. Vicuña Mackenna 4860, Macul, Campus San Joaquín se realizará cuando se retomen las actividades presenciales.</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Agosto de 2020</w:t>
            </w:r>
            <w:r w:rsidDel="00000000" w:rsidR="00000000" w:rsidRPr="00000000">
              <w:rPr>
                <w:rFonts w:ascii="Calibri" w:cs="Calibri" w:eastAsia="Calibri" w:hAnsi="Calibri"/>
                <w:color w:val="000000"/>
                <w:rtl w:val="0"/>
              </w:rPr>
              <w:t xml:space="preserve">: análisis de pertinencia.</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Septiembre de 2020: </w:t>
            </w:r>
            <w:r w:rsidDel="00000000" w:rsidR="00000000" w:rsidRPr="00000000">
              <w:rPr>
                <w:rFonts w:ascii="Calibri" w:cs="Calibri" w:eastAsia="Calibri" w:hAnsi="Calibri"/>
                <w:color w:val="000000"/>
                <w:rtl w:val="0"/>
              </w:rPr>
              <w:t xml:space="preserve">comunicación de ganadores. </w:t>
            </w:r>
          </w:p>
          <w:p w:rsidR="00000000" w:rsidDel="00000000" w:rsidP="00000000" w:rsidRDefault="00000000" w:rsidRPr="00000000" w14:paraId="00000046">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0" w:hanging="2"/>
              <w:jc w:val="both"/>
              <w:rPr>
                <w:rFonts w:ascii="Calibri" w:cs="Calibri" w:eastAsia="Calibri" w:hAnsi="Calibri"/>
              </w:rPr>
            </w:pPr>
            <w:bookmarkStart w:colFirst="0" w:colLast="0" w:name="_heading=h.3znysh7" w:id="1"/>
            <w:bookmarkEnd w:id="1"/>
            <w:r w:rsidDel="00000000" w:rsidR="00000000" w:rsidRPr="00000000">
              <w:rPr>
                <w:rtl w:val="0"/>
              </w:rPr>
            </w:r>
          </w:p>
          <w:p w:rsidR="00000000" w:rsidDel="00000000" w:rsidP="00000000" w:rsidRDefault="00000000" w:rsidRPr="00000000" w14:paraId="00000048">
            <w:pPr>
              <w:tabs>
                <w:tab w:val="left" w:pos="456"/>
              </w:tabs>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I) COMUNICACIÓN: </w:t>
            </w:r>
            <w:r w:rsidDel="00000000" w:rsidR="00000000" w:rsidRPr="00000000">
              <w:rPr>
                <w:rtl w:val="0"/>
              </w:rPr>
            </w:r>
          </w:p>
          <w:p w:rsidR="00000000" w:rsidDel="00000000" w:rsidP="00000000" w:rsidRDefault="00000000" w:rsidRPr="00000000" w14:paraId="00000049">
            <w:pPr>
              <w:tabs>
                <w:tab w:val="left" w:pos="456"/>
              </w:tabs>
              <w:ind w:left="0" w:hanging="2"/>
              <w:jc w:val="both"/>
              <w:rPr>
                <w:rFonts w:ascii="Calibri" w:cs="Calibri" w:eastAsia="Calibri" w:hAnsi="Calibri"/>
              </w:rPr>
            </w:pPr>
            <w:r w:rsidDel="00000000" w:rsidR="00000000" w:rsidRPr="00000000">
              <w:rPr>
                <w:rFonts w:ascii="Calibri" w:cs="Calibri" w:eastAsia="Calibri" w:hAnsi="Calibri"/>
                <w:rtl w:val="0"/>
              </w:rPr>
              <w:t xml:space="preserve">Toda la comunicación será vía email a </w:t>
            </w:r>
            <w:hyperlink r:id="rId12">
              <w:r w:rsidDel="00000000" w:rsidR="00000000" w:rsidRPr="00000000">
                <w:rPr>
                  <w:rFonts w:ascii="Calibri" w:cs="Calibri" w:eastAsia="Calibri" w:hAnsi="Calibri"/>
                  <w:color w:val="0000ff"/>
                  <w:u w:val="single"/>
                  <w:rtl w:val="0"/>
                </w:rPr>
                <w:t xml:space="preserve">transferencia@uc.cl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NOTAS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C">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La protección de los derechos de propiedad industrial se realizará de acuerdo al Reglamento de Propiedad Intelectual de la UC; disponible en el link:</w:t>
            </w:r>
          </w:p>
          <w:p w:rsidR="00000000" w:rsidDel="00000000" w:rsidP="00000000" w:rsidRDefault="00000000" w:rsidRPr="00000000" w14:paraId="0000004D">
            <w:pPr>
              <w:ind w:left="0" w:hanging="2"/>
              <w:jc w:val="both"/>
              <w:rPr>
                <w:rFonts w:ascii="Calibri" w:cs="Calibri" w:eastAsia="Calibri" w:hAnsi="Calibri"/>
                <w:sz w:val="22"/>
                <w:szCs w:val="22"/>
              </w:rPr>
            </w:pPr>
            <w:bookmarkStart w:colFirst="0" w:colLast="0" w:name="_heading=h.30j0zll" w:id="2"/>
            <w:bookmarkEnd w:id="2"/>
            <w:hyperlink r:id="rId13">
              <w:r w:rsidDel="00000000" w:rsidR="00000000" w:rsidRPr="00000000">
                <w:rPr>
                  <w:rFonts w:ascii="Calibri" w:cs="Calibri" w:eastAsia="Calibri" w:hAnsi="Calibri"/>
                  <w:color w:val="0000ff"/>
                  <w:sz w:val="22"/>
                  <w:szCs w:val="22"/>
                  <w:u w:val="single"/>
                  <w:rtl w:val="0"/>
                </w:rPr>
                <w:t xml:space="preserve">http://investigacion.uc.cl/images/pdf/propiedad_intelectual/Reglamento_Propiedad_Intelectual_e_Industrial.pdf</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E">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Las invenciones postuladas pasarán por un proceso de análisis de pertinencia. Aquellos investigadores, cuyas invenciones cumplan con los requisitos, deberán entregar la Declaración Obligatoria Interna (DOI) firmada por su respectivo Decano. </w:t>
            </w:r>
          </w:p>
          <w:p w:rsidR="00000000" w:rsidDel="00000000" w:rsidP="00000000" w:rsidRDefault="00000000" w:rsidRPr="00000000" w14:paraId="0000004F">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vertAlign w:val="superscript"/>
                <w:rtl w:val="0"/>
              </w:rPr>
              <w:t xml:space="preserve">**</w:t>
            </w:r>
            <w:r w:rsidDel="00000000" w:rsidR="00000000" w:rsidRPr="00000000">
              <w:rPr>
                <w:rFonts w:ascii="Calibri" w:cs="Calibri" w:eastAsia="Calibri" w:hAnsi="Calibri"/>
                <w:sz w:val="22"/>
                <w:szCs w:val="22"/>
                <w:rtl w:val="0"/>
              </w:rPr>
              <w:t xml:space="preserve">La Ley 19.039 de Propiedad Industrial, incluyendo los Artículos 37, 38 y 62 ter se puede encontrar en el link: </w:t>
            </w:r>
            <w:hyperlink r:id="rId14">
              <w:r w:rsidDel="00000000" w:rsidR="00000000" w:rsidRPr="00000000">
                <w:rPr>
                  <w:rFonts w:ascii="Calibri" w:cs="Calibri" w:eastAsia="Calibri" w:hAnsi="Calibri"/>
                  <w:color w:val="0000ff"/>
                  <w:sz w:val="22"/>
                  <w:szCs w:val="22"/>
                  <w:u w:val="single"/>
                  <w:rtl w:val="0"/>
                </w:rPr>
                <w:t xml:space="preserve">http://www.leychile.cl/Navegar?idNorma=30406</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Artículo 37</w:t>
            </w:r>
            <w:r w:rsidDel="00000000" w:rsidR="00000000" w:rsidRPr="00000000">
              <w:rPr>
                <w:rFonts w:ascii="Calibri" w:cs="Calibri" w:eastAsia="Calibri" w:hAnsi="Calibri"/>
                <w:sz w:val="22"/>
                <w:szCs w:val="22"/>
                <w:rtl w:val="0"/>
              </w:rPr>
              <w:t xml:space="preserve">.- No se considera invención y quedarán excluidos de la protección por patente de esta ley: </w:t>
            </w:r>
            <w:r w:rsidDel="00000000" w:rsidR="00000000" w:rsidRPr="00000000">
              <w:rPr>
                <w:rFonts w:ascii="Calibri" w:cs="Calibri" w:eastAsia="Calibri" w:hAnsi="Calibri"/>
                <w:b w:val="1"/>
                <w:sz w:val="22"/>
                <w:szCs w:val="22"/>
                <w:rtl w:val="0"/>
              </w:rPr>
              <w:t xml:space="preserve">a</w:t>
            </w:r>
            <w:r w:rsidDel="00000000" w:rsidR="00000000" w:rsidRPr="00000000">
              <w:rPr>
                <w:rFonts w:ascii="Calibri" w:cs="Calibri" w:eastAsia="Calibri" w:hAnsi="Calibri"/>
                <w:sz w:val="22"/>
                <w:szCs w:val="22"/>
                <w:rtl w:val="0"/>
              </w:rPr>
              <w:t xml:space="preserve">) Los descubrimientos, las teorías científicas y los métodos matemáticos. </w:t>
            </w:r>
            <w:r w:rsidDel="00000000" w:rsidR="00000000" w:rsidRPr="00000000">
              <w:rPr>
                <w:rFonts w:ascii="Calibri" w:cs="Calibri" w:eastAsia="Calibri" w:hAnsi="Calibri"/>
                <w:b w:val="1"/>
                <w:sz w:val="22"/>
                <w:szCs w:val="22"/>
                <w:rtl w:val="0"/>
              </w:rPr>
              <w:t xml:space="preserve">b</w:t>
            </w:r>
            <w:r w:rsidDel="00000000" w:rsidR="00000000" w:rsidRPr="00000000">
              <w:rPr>
                <w:rFonts w:ascii="Calibri" w:cs="Calibri" w:eastAsia="Calibri" w:hAnsi="Calibri"/>
                <w:sz w:val="22"/>
                <w:szCs w:val="22"/>
                <w:rtl w:val="0"/>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Del="00000000" w:rsidR="00000000" w:rsidRPr="00000000">
              <w:rPr>
                <w:rFonts w:ascii="Calibri" w:cs="Calibri" w:eastAsia="Calibri" w:hAnsi="Calibri"/>
                <w:b w:val="1"/>
                <w:sz w:val="22"/>
                <w:szCs w:val="22"/>
                <w:rtl w:val="0"/>
              </w:rPr>
              <w:t xml:space="preserve">c</w:t>
            </w:r>
            <w:r w:rsidDel="00000000" w:rsidR="00000000" w:rsidRPr="00000000">
              <w:rPr>
                <w:rFonts w:ascii="Calibri" w:cs="Calibri" w:eastAsia="Calibri" w:hAnsi="Calibri"/>
                <w:sz w:val="22"/>
                <w:szCs w:val="22"/>
                <w:rtl w:val="0"/>
              </w:rPr>
              <w:t xml:space="preserve">) Los sistemas, métodos, principios o planes económicos, financieros, comerciales, de negocios o de simple verificación y fiscalización; y los referidos a las actividades puramente mentales o intelectuales o a materias de juego.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sz w:val="22"/>
                <w:szCs w:val="22"/>
                <w:rtl w:val="0"/>
              </w:rPr>
              <w:t xml:space="preserve">) Los métodos de tratamiento quirúrgico o terapéutico del cuerpo humano o animal, así como los métodos de diagnóstico aplicados al cuerpo humano o animal, salvo los productos destinados a poner en práctica uno de estos métodos.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Del="00000000" w:rsidR="00000000" w:rsidRPr="00000000">
              <w:rPr>
                <w:rFonts w:ascii="Calibri" w:cs="Calibri" w:eastAsia="Calibri" w:hAnsi="Calibri"/>
                <w:b w:val="1"/>
                <w:sz w:val="22"/>
                <w:szCs w:val="22"/>
                <w:rtl w:val="0"/>
              </w:rPr>
              <w:t xml:space="preserve">f</w:t>
            </w:r>
            <w:r w:rsidDel="00000000" w:rsidR="00000000" w:rsidRPr="00000000">
              <w:rPr>
                <w:rFonts w:ascii="Calibri" w:cs="Calibri" w:eastAsia="Calibri" w:hAnsi="Calibri"/>
                <w:sz w:val="22"/>
                <w:szCs w:val="22"/>
                <w:rtl w:val="0"/>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Del="00000000" w:rsidR="00000000" w:rsidRPr="00000000">
              <w:rPr>
                <w:rFonts w:ascii="Calibri" w:cs="Calibri" w:eastAsia="Calibri" w:hAnsi="Calibri"/>
                <w:b w:val="1"/>
                <w:sz w:val="22"/>
                <w:szCs w:val="22"/>
                <w:rtl w:val="0"/>
              </w:rPr>
              <w:t xml:space="preserve">Artículo 38</w:t>
            </w:r>
            <w:r w:rsidDel="00000000" w:rsidR="00000000" w:rsidRPr="00000000">
              <w:rPr>
                <w:rFonts w:ascii="Calibri" w:cs="Calibri" w:eastAsia="Calibri" w:hAnsi="Calibri"/>
                <w:sz w:val="22"/>
                <w:szCs w:val="22"/>
                <w:rtl w:val="0"/>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disposición legal o administrativa que prohíba o que regule dicha explotación. </w:t>
            </w:r>
            <w:r w:rsidDel="00000000" w:rsidR="00000000" w:rsidRPr="00000000">
              <w:rPr>
                <w:rFonts w:ascii="Calibri" w:cs="Calibri" w:eastAsia="Calibri" w:hAnsi="Calibri"/>
                <w:b w:val="1"/>
                <w:sz w:val="22"/>
                <w:szCs w:val="22"/>
                <w:rtl w:val="0"/>
              </w:rPr>
              <w:t xml:space="preserve">Artículo 62 ter.-</w:t>
            </w:r>
            <w:r w:rsidDel="00000000" w:rsidR="00000000" w:rsidRPr="00000000">
              <w:rPr>
                <w:rFonts w:ascii="Calibri" w:cs="Calibri" w:eastAsia="Calibri" w:hAnsi="Calibri"/>
                <w:sz w:val="22"/>
                <w:szCs w:val="22"/>
                <w:rtl w:val="0"/>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sectPr>
      <w:headerReference r:id="rId15" w:type="default"/>
      <w:footerReference r:id="rId16" w:type="default"/>
      <w:pgSz w:h="15840" w:w="12240"/>
      <w:pgMar w:bottom="1021" w:top="107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
        <w:r w:rsidDel="00000000" w:rsidR="00000000" w:rsidRPr="00000000">
          <w:rPr>
            <w:color w:val="1155cc"/>
            <w:sz w:val="16"/>
            <w:szCs w:val="16"/>
            <w:u w:val="single"/>
            <w:rtl w:val="0"/>
          </w:rPr>
          <w:t xml:space="preserve">https://form.jotform.com/201886772159669</w:t>
        </w:r>
      </w:hyperlink>
      <w:r w:rsidDel="00000000" w:rsidR="00000000" w:rsidRPr="00000000">
        <w:rPr>
          <w:rtl w:val="0"/>
        </w:rPr>
      </w:r>
    </w:p>
  </w:footnote>
  <w:footnote w:id="1">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color w:val="000000"/>
          <w:sz w:val="16"/>
          <w:szCs w:val="16"/>
        </w:rPr>
      </w:pPr>
      <w:bookmarkStart w:colFirst="0" w:colLast="0" w:name="_heading=h.1fob9te" w:id="3"/>
      <w:bookmarkEnd w:id="3"/>
      <w:r w:rsidDel="00000000" w:rsidR="00000000" w:rsidRPr="00000000">
        <w:rPr>
          <w:rStyle w:val="FootnoteReference"/>
          <w:vertAlign w:val="superscript"/>
        </w:rPr>
        <w:footnoteRef/>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DOI también se encuentra descargable en la sección Concursos en el sitio </w:t>
      </w:r>
      <w:hyperlink r:id="rId2">
        <w:r w:rsidDel="00000000" w:rsidR="00000000" w:rsidRPr="00000000">
          <w:rPr>
            <w:rFonts w:ascii="Calibri" w:cs="Calibri" w:eastAsia="Calibri" w:hAnsi="Calibri"/>
            <w:color w:val="0000ff"/>
            <w:sz w:val="16"/>
            <w:szCs w:val="16"/>
            <w:u w:val="single"/>
            <w:rtl w:val="0"/>
          </w:rPr>
          <w:t xml:space="preserve">http://investigacion.uc.cl/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znysh7" w:id="4"/>
  <w:bookmarkEnd w:id="4"/>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0" w:hanging="2"/>
      <w:jc w:val="center"/>
      <w:rPr>
        <w:color w:val="000000"/>
        <w:sz w:val="20"/>
        <w:szCs w:val="20"/>
      </w:rPr>
    </w:pPr>
    <w:r w:rsidDel="00000000" w:rsidR="00000000" w:rsidRPr="00000000">
      <w:rPr>
        <w:b w:val="1"/>
        <w:color w:val="000000"/>
        <w:sz w:val="20"/>
        <w:szCs w:val="20"/>
      </w:rPr>
      <w:drawing>
        <wp:inline distB="0" distT="0" distL="114300" distR="114300">
          <wp:extent cx="828675" cy="106616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8675" cy="106616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0" w:hanging="2"/>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4">
    <w:lvl w:ilvl="0">
      <w:start w:val="1"/>
      <w:numFmt w:val="bullet"/>
      <w:lvlText w:val="●"/>
      <w:lvlJc w:val="left"/>
      <w:pPr>
        <w:ind w:left="612" w:hanging="360"/>
      </w:pPr>
      <w:rPr>
        <w:rFonts w:ascii="Noto Sans Symbols" w:cs="Noto Sans Symbols" w:eastAsia="Noto Sans Symbols" w:hAnsi="Noto Sans Symbols"/>
        <w:vertAlign w:val="baseline"/>
      </w:rPr>
    </w:lvl>
    <w:lvl w:ilvl="1">
      <w:start w:val="1"/>
      <w:numFmt w:val="bullet"/>
      <w:lvlText w:val="o"/>
      <w:lvlJc w:val="left"/>
      <w:pPr>
        <w:ind w:left="1332" w:hanging="360.0000000000001"/>
      </w:pPr>
      <w:rPr>
        <w:rFonts w:ascii="Courier New" w:cs="Courier New" w:eastAsia="Courier New" w:hAnsi="Courier New"/>
        <w:vertAlign w:val="baseline"/>
      </w:rPr>
    </w:lvl>
    <w:lvl w:ilvl="2">
      <w:start w:val="1"/>
      <w:numFmt w:val="bullet"/>
      <w:lvlText w:val="▪"/>
      <w:lvlJc w:val="left"/>
      <w:pPr>
        <w:ind w:left="2052" w:hanging="360"/>
      </w:pPr>
      <w:rPr>
        <w:rFonts w:ascii="Noto Sans Symbols" w:cs="Noto Sans Symbols" w:eastAsia="Noto Sans Symbols" w:hAnsi="Noto Sans Symbols"/>
        <w:vertAlign w:val="baseline"/>
      </w:rPr>
    </w:lvl>
    <w:lvl w:ilvl="3">
      <w:start w:val="1"/>
      <w:numFmt w:val="bullet"/>
      <w:lvlText w:val="●"/>
      <w:lvlJc w:val="left"/>
      <w:pPr>
        <w:ind w:left="2772" w:hanging="360"/>
      </w:pPr>
      <w:rPr>
        <w:rFonts w:ascii="Noto Sans Symbols" w:cs="Noto Sans Symbols" w:eastAsia="Noto Sans Symbols" w:hAnsi="Noto Sans Symbols"/>
        <w:vertAlign w:val="baseline"/>
      </w:rPr>
    </w:lvl>
    <w:lvl w:ilvl="4">
      <w:start w:val="1"/>
      <w:numFmt w:val="bullet"/>
      <w:lvlText w:val="o"/>
      <w:lvlJc w:val="left"/>
      <w:pPr>
        <w:ind w:left="3492" w:hanging="360"/>
      </w:pPr>
      <w:rPr>
        <w:rFonts w:ascii="Courier New" w:cs="Courier New" w:eastAsia="Courier New" w:hAnsi="Courier New"/>
        <w:vertAlign w:val="baseline"/>
      </w:rPr>
    </w:lvl>
    <w:lvl w:ilvl="5">
      <w:start w:val="1"/>
      <w:numFmt w:val="bullet"/>
      <w:lvlText w:val="▪"/>
      <w:lvlJc w:val="left"/>
      <w:pPr>
        <w:ind w:left="4212" w:hanging="360"/>
      </w:pPr>
      <w:rPr>
        <w:rFonts w:ascii="Noto Sans Symbols" w:cs="Noto Sans Symbols" w:eastAsia="Noto Sans Symbols" w:hAnsi="Noto Sans Symbols"/>
        <w:vertAlign w:val="baseline"/>
      </w:rPr>
    </w:lvl>
    <w:lvl w:ilvl="6">
      <w:start w:val="1"/>
      <w:numFmt w:val="bullet"/>
      <w:lvlText w:val="●"/>
      <w:lvlJc w:val="left"/>
      <w:pPr>
        <w:ind w:left="4932" w:hanging="360"/>
      </w:pPr>
      <w:rPr>
        <w:rFonts w:ascii="Noto Sans Symbols" w:cs="Noto Sans Symbols" w:eastAsia="Noto Sans Symbols" w:hAnsi="Noto Sans Symbols"/>
        <w:vertAlign w:val="baseline"/>
      </w:rPr>
    </w:lvl>
    <w:lvl w:ilvl="7">
      <w:start w:val="1"/>
      <w:numFmt w:val="bullet"/>
      <w:lvlText w:val="o"/>
      <w:lvlJc w:val="left"/>
      <w:pPr>
        <w:ind w:left="5652" w:hanging="360"/>
      </w:pPr>
      <w:rPr>
        <w:rFonts w:ascii="Courier New" w:cs="Courier New" w:eastAsia="Courier New" w:hAnsi="Courier New"/>
        <w:vertAlign w:val="baseline"/>
      </w:rPr>
    </w:lvl>
    <w:lvl w:ilvl="8">
      <w:start w:val="1"/>
      <w:numFmt w:val="bullet"/>
      <w:lvlText w:val="▪"/>
      <w:lvlJc w:val="left"/>
      <w:pPr>
        <w:ind w:left="6372"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Arial" w:cs="Arial" w:eastAsia="Arial" w:hAnsi="Arial"/>
      <w:sz w:val="22"/>
      <w:szCs w:val="22"/>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extodeglobo">
    <w:name w:val="Balloon Text"/>
    <w:basedOn w:val="Normal"/>
    <w:rPr>
      <w:rFonts w:ascii="Tahoma" w:cs="Tahoma" w:hAnsi="Tahoma"/>
      <w:sz w:val="16"/>
      <w:szCs w:val="16"/>
      <w:lang w:eastAsia="es-CL" w:val="es-CL"/>
    </w:rPr>
  </w:style>
  <w:style w:type="paragraph" w:styleId="Default" w:customStyle="1">
    <w:name w:val="Default"/>
    <w:pPr>
      <w:widowControl w:val="0"/>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lang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styleId="TextocomentarioCar" w:customStyle="1">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val="1"/>
      <w:bCs w:val="1"/>
    </w:rPr>
  </w:style>
  <w:style w:type="character" w:styleId="AsuntodelcomentarioCar" w:customStyle="1">
    <w:name w:val="Asunto del comentario Car"/>
    <w:rPr>
      <w:b w:val="1"/>
      <w:bCs w:val="1"/>
      <w:w w:val="100"/>
      <w:position w:val="-1"/>
      <w:effect w:val="none"/>
      <w:vertAlign w:val="baseline"/>
      <w:cs w:val="0"/>
      <w:em w:val="none"/>
    </w:rPr>
  </w:style>
  <w:style w:type="character" w:styleId="nfasis">
    <w:name w:val="Emphasis"/>
    <w:rPr>
      <w:i w:val="1"/>
      <w:iCs w:val="1"/>
      <w:w w:val="100"/>
      <w:position w:val="-1"/>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SubttuloCar" w:customStyle="1">
    <w:name w:val="Subtítulo Car"/>
    <w:rPr>
      <w:rFonts w:ascii="Cambria" w:cs="Times New Roman" w:eastAsia="Times New Roman" w:hAnsi="Cambria"/>
      <w:i w:val="1"/>
      <w:iCs w:val="1"/>
      <w:color w:val="4f81bd"/>
      <w:spacing w:val="15"/>
      <w:w w:val="100"/>
      <w:position w:val="-1"/>
      <w:sz w:val="24"/>
      <w:szCs w:val="24"/>
      <w:effect w:val="none"/>
      <w:vertAlign w:val="baseline"/>
      <w:cs w:val="0"/>
      <w:em w:val="none"/>
    </w:rPr>
  </w:style>
  <w:style w:type="character" w:styleId="Textoennegrita">
    <w:name w:val="Strong"/>
    <w:rPr>
      <w:b w:val="1"/>
      <w:bCs w:val="1"/>
      <w:w w:val="100"/>
      <w:position w:val="-1"/>
      <w:effect w:val="none"/>
      <w:vertAlign w:val="baseline"/>
      <w:cs w:val="0"/>
      <w:em w:val="none"/>
    </w:rPr>
  </w:style>
  <w:style w:type="paragraph" w:styleId="Listavistosa-nfasis11" w:customStyle="1">
    <w:name w:val="Lista vistosa - Énfasis 11"/>
    <w:basedOn w:val="Normal"/>
    <w:pPr>
      <w:ind w:left="720"/>
      <w:contextualSpacing w:val="1"/>
    </w:pPr>
  </w:style>
  <w:style w:type="paragraph" w:styleId="Encabezado">
    <w:name w:val="header"/>
    <w:basedOn w:val="Normal"/>
  </w:style>
  <w:style w:type="character" w:styleId="EncabezadoCar" w:customStyle="1">
    <w:name w:val="Encabezado Car"/>
    <w:rPr>
      <w:w w:val="100"/>
      <w:position w:val="-1"/>
      <w:sz w:val="24"/>
      <w:szCs w:val="24"/>
      <w:effect w:val="none"/>
      <w:vertAlign w:val="baseline"/>
      <w:cs w:val="0"/>
      <w:em w:val="none"/>
    </w:rPr>
  </w:style>
  <w:style w:type="paragraph" w:styleId="Piedepgina">
    <w:name w:val="footer"/>
    <w:basedOn w:val="Normal"/>
  </w:style>
  <w:style w:type="character" w:styleId="PiedepginaCar" w:customStyle="1">
    <w:name w:val="Pie de página Car"/>
    <w:rPr>
      <w:w w:val="100"/>
      <w:position w:val="-1"/>
      <w:sz w:val="24"/>
      <w:szCs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Sombreadovistoso-nfasis11" w:customStyle="1">
    <w:name w:val="Sombreado vistoso - Énfasis 11"/>
    <w:pPr>
      <w:suppressAutoHyphens w:val="1"/>
      <w:spacing w:line="1" w:lineRule="atLeast"/>
      <w:ind w:left="-1" w:leftChars="-1" w:hanging="1" w:hangingChars="1"/>
      <w:textDirection w:val="btLr"/>
      <w:textAlignment w:val="top"/>
      <w:outlineLvl w:val="0"/>
    </w:pPr>
    <w:rPr>
      <w:position w:val="-1"/>
      <w:lang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val="1"/>
    </w:pPr>
  </w:style>
  <w:style w:type="paragraph" w:styleId="Textonotapie">
    <w:name w:val="footnote text"/>
    <w:basedOn w:val="Normal"/>
    <w:rPr>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val="1"/>
      <w:spacing w:line="1" w:lineRule="atLeast"/>
      <w:ind w:left="-1" w:leftChars="-1" w:hanging="1" w:hangingChars="1"/>
      <w:textDirection w:val="btLr"/>
      <w:textAlignment w:val="top"/>
      <w:outlineLvl w:val="0"/>
    </w:pPr>
    <w:rPr>
      <w:position w:val="-1"/>
      <w:lang w:eastAsia="es-ES"/>
    </w:rPr>
  </w:style>
  <w:style w:type="character" w:styleId="Mencinsinresolver1" w:customStyle="1">
    <w:name w:val="Mención sin resolver1"/>
    <w:qFormat w:val="1"/>
    <w:rPr>
      <w:color w:val="605e5c"/>
      <w:w w:val="100"/>
      <w:position w:val="-1"/>
      <w:effect w:val="none"/>
      <w:shd w:color="auto" w:fill="e1dfdd" w:val="clear"/>
      <w:vertAlign w:val="baseline"/>
      <w:cs w:val="0"/>
      <w:em w:val="none"/>
    </w:rPr>
  </w:style>
  <w:style w:type="table" w:styleId="a" w:customStyle="1">
    <w:basedOn w:val="TableNormal"/>
    <w:tblPr>
      <w:tblStyleRowBandSize w:val="1"/>
      <w:tblStyleColBandSize w:val="1"/>
      <w:tblCellMar>
        <w:left w:w="108.0" w:type="dxa"/>
        <w:right w:w="108.0" w:type="dxa"/>
      </w:tblCellMar>
    </w:tblPr>
  </w:style>
  <w:style w:type="character" w:styleId="Mencinsinresolver2" w:customStyle="1">
    <w:name w:val="Mención sin resolver2"/>
    <w:basedOn w:val="Fuentedeprrafopredeter"/>
    <w:uiPriority w:val="99"/>
    <w:semiHidden w:val="1"/>
    <w:unhideWhenUsed w:val="1"/>
    <w:rsid w:val="00C867A5"/>
    <w:rPr>
      <w:color w:val="605e5c"/>
      <w:shd w:color="auto" w:fill="e1dfdd" w:val="clear"/>
    </w:rPr>
  </w:style>
  <w:style w:type="character" w:styleId="Mencinsinresolver3" w:customStyle="1">
    <w:name w:val="Mención sin resolver3"/>
    <w:basedOn w:val="Fuentedeprrafopredeter"/>
    <w:uiPriority w:val="99"/>
    <w:semiHidden w:val="1"/>
    <w:unhideWhenUsed w:val="1"/>
    <w:rsid w:val="004E1158"/>
    <w:rPr>
      <w:color w:val="605e5c"/>
      <w:shd w:color="auto" w:fill="e1dfdd" w:val="clear"/>
    </w:rPr>
  </w:style>
  <w:style w:type="character" w:styleId="UnresolvedMention" w:customStyle="1">
    <w:name w:val="Unresolved Mention"/>
    <w:basedOn w:val="Fuentedeprrafopredeter"/>
    <w:uiPriority w:val="99"/>
    <w:semiHidden w:val="1"/>
    <w:unhideWhenUsed w:val="1"/>
    <w:rsid w:val="00D4169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ansferencia@uc.cl" TargetMode="External"/><Relationship Id="rId10" Type="http://schemas.openxmlformats.org/officeDocument/2006/relationships/hyperlink" Target="https://transferenciaydesarrollo.uc.cl/financiamiento/calendario-de-concursos/" TargetMode="External"/><Relationship Id="rId13" Type="http://schemas.openxmlformats.org/officeDocument/2006/relationships/hyperlink" Target="http://investigacion.uc.cl/images/pdf/propiedad_intelectual/Reglamento_Propiedad_Intelectual_e_Industrial.pdf" TargetMode="External"/><Relationship Id="rId12" Type="http://schemas.openxmlformats.org/officeDocument/2006/relationships/hyperlink" Target="mailto:transferencia@u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jotform.com/201886772159669" TargetMode="External"/><Relationship Id="rId15" Type="http://schemas.openxmlformats.org/officeDocument/2006/relationships/header" Target="header1.xml"/><Relationship Id="rId14" Type="http://schemas.openxmlformats.org/officeDocument/2006/relationships/hyperlink" Target="http://www.leychile.cl/Navegar?idNorma=30406"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01886772159669" TargetMode="External"/><Relationship Id="rId2" Type="http://schemas.openxmlformats.org/officeDocument/2006/relationships/hyperlink" Target="http://investigacion.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2020-04-17T12:07:00Z</dcterms:created>
  <dc:creator>VRA</dc:creator>
</cp:coreProperties>
</file>