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bookmarkStart w:id="0" w:name="_GoBack"/>
            <w:bookmarkEnd w:id="0"/>
            <w:r w:rsidR="0066092E" w:rsidRPr="00E35E0F">
              <w:rPr>
                <w:rFonts w:ascii="Calibri" w:eastAsia="Calibri" w:hAnsi="Calibri" w:cs="Calibri"/>
                <w:color w:val="000000"/>
              </w:rPr>
              <w:t>V</w:t>
            </w:r>
            <w:r w:rsidR="00CC3CF1">
              <w:rPr>
                <w:rFonts w:ascii="Calibri" w:eastAsia="Calibri" w:hAnsi="Calibri" w:cs="Calibri"/>
                <w:color w:val="000000"/>
              </w:rPr>
              <w:t>I</w:t>
            </w:r>
            <w:r w:rsidR="0079438D">
              <w:rPr>
                <w:rFonts w:ascii="Calibri" w:eastAsia="Calibri" w:hAnsi="Calibri" w:cs="Calibri"/>
                <w:color w:val="000000"/>
              </w:rPr>
              <w:t>I</w:t>
            </w:r>
            <w:r w:rsidR="0066092E" w:rsidRPr="00E35E0F">
              <w:rPr>
                <w:rFonts w:ascii="Calibri" w:eastAsia="Calibri" w:hAnsi="Calibri" w:cs="Calibri"/>
                <w:color w:val="000000"/>
              </w:rPr>
              <w:t xml:space="preserve"> 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92017E">
            <w:pPr>
              <w:ind w:left="862" w:hangingChars="360" w:hanging="864"/>
              <w:jc w:val="both"/>
              <w:rPr>
                <w:rFonts w:ascii="Calibri" w:eastAsia="Calibri" w:hAnsi="Calibri" w:cs="Calibri"/>
              </w:rPr>
            </w:pPr>
            <w:bookmarkStart w:id="1" w:name="_heading=h.gjdgxs" w:colFirst="0" w:colLast="0"/>
            <w:bookmarkEnd w:id="1"/>
            <w:r w:rsidRPr="00E35E0F">
              <w:rPr>
                <w:rFonts w:ascii="Calibri" w:eastAsia="Calibri" w:hAnsi="Calibri" w:cs="Calibri"/>
              </w:rPr>
              <w:t xml:space="preserve">Las postulaciones se deben realizar en línea en el </w:t>
            </w:r>
            <w:hyperlink r:id="rId8" w:history="1">
              <w:r w:rsidRPr="00E35E0F">
                <w:rPr>
                  <w:rStyle w:val="Hipervnculo"/>
                  <w:rFonts w:ascii="Calibri" w:eastAsia="Calibri" w:hAnsi="Calibri" w:cs="Calibri"/>
                </w:rPr>
                <w:t>sitio de postulación</w:t>
              </w:r>
            </w:hyperlink>
            <w:r w:rsidRPr="00E35E0F">
              <w:rPr>
                <w:rFonts w:ascii="Calibri" w:eastAsia="Calibri" w:hAnsi="Calibri" w:cs="Calibri"/>
                <w:vertAlign w:val="superscript"/>
              </w:rPr>
              <w:footnoteReference w:id="1"/>
            </w:r>
            <w:r w:rsidRPr="00E35E0F">
              <w:rPr>
                <w:rFonts w:ascii="Calibri" w:eastAsia="Calibri" w:hAnsi="Calibri" w:cs="Calibri"/>
              </w:rPr>
              <w:t xml:space="preserve">. De este sitio cada postulante deberá descargar el formulario de postulación y la </w:t>
            </w:r>
            <w:hyperlink r:id="rId9">
              <w:r w:rsidRPr="00E35E0F">
                <w:rPr>
                  <w:rFonts w:ascii="Calibri" w:eastAsia="Calibri" w:hAnsi="Calibri" w:cs="Calibri"/>
                  <w:color w:val="0000FF"/>
                  <w:u w:val="single"/>
                </w:rPr>
                <w:t>DOI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La postulación debe ser enviada a más tardar </w:t>
            </w:r>
            <w:r w:rsidR="0079438D">
              <w:rPr>
                <w:rFonts w:ascii="Calibri" w:eastAsia="Calibri" w:hAnsi="Calibri" w:cs="Calibri"/>
                <w:b/>
              </w:rPr>
              <w:t>el miércoles 28 de octubre</w:t>
            </w:r>
            <w:r w:rsidRPr="00E35E0F">
              <w:rPr>
                <w:rFonts w:ascii="Calibri" w:eastAsia="Calibri" w:hAnsi="Calibri" w:cs="Calibri"/>
                <w:b/>
              </w:rPr>
              <w:t xml:space="preserve"> de 2020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C551BC">
              <w:rPr>
                <w:rFonts w:ascii="Calibri" w:eastAsia="Calibri" w:hAnsi="Calibri" w:cs="Calibri"/>
                <w:b/>
              </w:rPr>
              <w:t>enero</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CLAVES: </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Lunes 5 de octubre</w:t>
            </w:r>
            <w:r w:rsidR="0066092E" w:rsidRPr="00E35E0F">
              <w:rPr>
                <w:rFonts w:ascii="Calibri" w:eastAsia="Calibri" w:hAnsi="Calibri" w:cs="Calibri"/>
                <w:b/>
                <w:color w:val="000000"/>
              </w:rPr>
              <w:t xml:space="preserve"> de 2020: </w:t>
            </w:r>
            <w:r w:rsidR="0066092E" w:rsidRPr="00E35E0F">
              <w:rPr>
                <w:rFonts w:ascii="Calibri" w:eastAsia="Calibri" w:hAnsi="Calibri" w:cs="Calibri"/>
                <w:color w:val="000000"/>
              </w:rPr>
              <w:t>apertura concurso.</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Miércoles 28 de octubre</w:t>
            </w:r>
            <w:r w:rsidR="0066092E" w:rsidRPr="00E35E0F">
              <w:rPr>
                <w:rFonts w:ascii="Calibri" w:eastAsia="Calibri" w:hAnsi="Calibri" w:cs="Calibri"/>
                <w:b/>
                <w:color w:val="000000"/>
              </w:rPr>
              <w:t xml:space="preserve"> de 2020,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E35E0F" w:rsidRDefault="00D33169"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Octubre</w:t>
            </w:r>
            <w:r w:rsidR="0066092E" w:rsidRPr="00E35E0F">
              <w:rPr>
                <w:rFonts w:ascii="Calibri" w:eastAsia="Calibri" w:hAnsi="Calibri" w:cs="Calibri"/>
                <w:b/>
                <w:color w:val="000000"/>
              </w:rPr>
              <w:t xml:space="preserve"> de 2020</w:t>
            </w:r>
            <w:r w:rsidR="0066092E" w:rsidRPr="00E35E0F">
              <w:rPr>
                <w:rFonts w:ascii="Calibri" w:eastAsia="Calibri" w:hAnsi="Calibri" w:cs="Calibri"/>
                <w:color w:val="000000"/>
              </w:rPr>
              <w:t>: análisis de pertinencia.</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Noviembre</w:t>
            </w:r>
            <w:r w:rsidR="0066092E" w:rsidRPr="00E35E0F">
              <w:rPr>
                <w:rFonts w:ascii="Calibri" w:eastAsia="Calibri" w:hAnsi="Calibri" w:cs="Calibri"/>
                <w:b/>
                <w:color w:val="000000"/>
              </w:rPr>
              <w:t xml:space="preserve"> de 2020: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B76ECA"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ECA" w:rsidRDefault="00B76ECA">
      <w:pPr>
        <w:spacing w:line="240" w:lineRule="auto"/>
        <w:ind w:left="0" w:hanging="2"/>
      </w:pPr>
      <w:r>
        <w:separator/>
      </w:r>
    </w:p>
  </w:endnote>
  <w:endnote w:type="continuationSeparator" w:id="0">
    <w:p w:rsidR="00B76ECA" w:rsidRDefault="00B76E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ECA" w:rsidRDefault="00B76ECA">
      <w:pPr>
        <w:spacing w:line="240" w:lineRule="auto"/>
        <w:ind w:left="0" w:hanging="2"/>
      </w:pPr>
      <w:r>
        <w:separator/>
      </w:r>
    </w:p>
  </w:footnote>
  <w:footnote w:type="continuationSeparator" w:id="0">
    <w:p w:rsidR="00B76ECA" w:rsidRDefault="00B76ECA">
      <w:pPr>
        <w:spacing w:line="240" w:lineRule="auto"/>
        <w:ind w:left="0" w:hanging="2"/>
      </w:pPr>
      <w:r>
        <w:continuationSeparator/>
      </w:r>
    </w:p>
  </w:footnote>
  <w:footnote w:id="1">
    <w:p w:rsidR="00563847" w:rsidRDefault="0066092E" w:rsidP="00114863">
      <w:pPr>
        <w:pBdr>
          <w:top w:val="nil"/>
          <w:left w:val="nil"/>
          <w:bottom w:val="nil"/>
          <w:right w:val="nil"/>
          <w:between w:val="nil"/>
        </w:pBdr>
        <w:spacing w:line="240" w:lineRule="auto"/>
        <w:ind w:left="0" w:hanging="2"/>
        <w:rPr>
          <w:sz w:val="16"/>
          <w:szCs w:val="16"/>
        </w:rPr>
      </w:pPr>
      <w:r>
        <w:rPr>
          <w:vertAlign w:val="superscript"/>
        </w:rPr>
        <w:footnoteRef/>
      </w:r>
      <w:r>
        <w:rPr>
          <w:sz w:val="16"/>
          <w:szCs w:val="16"/>
        </w:rPr>
        <w:t xml:space="preserve"> </w:t>
      </w:r>
      <w:hyperlink r:id="rId1" w:history="1">
        <w:r w:rsidR="00563847" w:rsidRPr="0089127A">
          <w:rPr>
            <w:rStyle w:val="Hipervnculo"/>
            <w:sz w:val="16"/>
            <w:szCs w:val="16"/>
          </w:rPr>
          <w:t>https://form.jotform.com/202785183686669</w:t>
        </w:r>
      </w:hyperlink>
    </w:p>
  </w:footnote>
  <w:footnote w:id="2">
    <w:p w:rsidR="00114863" w:rsidRDefault="0066092E" w:rsidP="00563847">
      <w:pPr>
        <w:pBdr>
          <w:top w:val="nil"/>
          <w:left w:val="nil"/>
          <w:bottom w:val="nil"/>
          <w:right w:val="nil"/>
          <w:between w:val="nil"/>
        </w:pBdr>
        <w:spacing w:line="240" w:lineRule="auto"/>
        <w:ind w:leftChars="0" w:left="0" w:firstLineChars="0" w:firstLine="0"/>
        <w:rPr>
          <w:color w:val="000000"/>
          <w:sz w:val="16"/>
          <w:szCs w:val="16"/>
        </w:rPr>
      </w:pPr>
      <w:bookmarkStart w:id="2" w:name="_heading=h.1fob9te" w:colFirst="0" w:colLast="0"/>
      <w:bookmarkEnd w:id="2"/>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2" w:history="1">
        <w:r w:rsidR="001853B3" w:rsidRPr="00716596">
          <w:rPr>
            <w:rStyle w:val="Hipervnculo"/>
            <w:rFonts w:ascii="Calibri" w:eastAsia="Calibri" w:hAnsi="Calibri" w:cs="Calibri"/>
            <w:sz w:val="16"/>
            <w:szCs w:val="16"/>
          </w:rPr>
          <w:t>https://investigacion.uc.cl/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114863"/>
    <w:rsid w:val="001853B3"/>
    <w:rsid w:val="001D3871"/>
    <w:rsid w:val="00563847"/>
    <w:rsid w:val="005F7935"/>
    <w:rsid w:val="0066092E"/>
    <w:rsid w:val="0079438D"/>
    <w:rsid w:val="007F1FC1"/>
    <w:rsid w:val="00874DC5"/>
    <w:rsid w:val="008C357E"/>
    <w:rsid w:val="0092017E"/>
    <w:rsid w:val="00B76ECA"/>
    <w:rsid w:val="00BA6927"/>
    <w:rsid w:val="00C551BC"/>
    <w:rsid w:val="00CA54B3"/>
    <w:rsid w:val="00CC3CF1"/>
    <w:rsid w:val="00D33169"/>
    <w:rsid w:val="00DA483F"/>
    <w:rsid w:val="00E130DC"/>
    <w:rsid w:val="00E35E0F"/>
    <w:rsid w:val="00F318B7"/>
    <w:rsid w:val="00F4233C"/>
    <w:rsid w:val="00F70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A86F"/>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styleId="Mencinsinresolver">
    <w:name w:val="Unresolved Mention"/>
    <w:basedOn w:val="Fuentedeprrafopredeter"/>
    <w:uiPriority w:val="99"/>
    <w:semiHidden/>
    <w:unhideWhenUsed/>
    <w:rsid w:val="0056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jotform.com/202785183686669"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transferenciaydesarrollo.uc.cl/financiamiento/calendario-de-concurs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nvestigacion.uc.cl/" TargetMode="External"/><Relationship Id="rId1" Type="http://schemas.openxmlformats.org/officeDocument/2006/relationships/hyperlink" Target="https://form.jotform.com/2027851836866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7</cp:revision>
  <dcterms:created xsi:type="dcterms:W3CDTF">2020-09-07T11:37:00Z</dcterms:created>
  <dcterms:modified xsi:type="dcterms:W3CDTF">2020-10-05T17:56:00Z</dcterms:modified>
</cp:coreProperties>
</file>